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5072C" w:rsidRPr="006B182F" w:rsidP="00A5072C" w14:paraId="2872C93A"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10.HAFTA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23-27</w:t>
      </w:r>
      <w:r>
        <w:rPr>
          <w:rFonts w:ascii="Andika" w:hAnsi="Andika" w:cs="Andika"/>
          <w:b/>
          <w:color w:val="000000" w:themeColor="text1"/>
          <w:sz w:val="20"/>
          <w:szCs w:val="20"/>
        </w:rPr>
        <w:t xml:space="preserve"> KASIM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1362C80C"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523A69A8"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032FDC41"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628C05B7"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0E9BF027"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7D9CAAA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6D6694C5"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3A2D8C0E"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625C1D82"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45B27A73"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E05C84" w:rsidRPr="006B182F" w:rsidP="006B182F" w14:paraId="2752C93B"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6D374204"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17F5BEE3"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70EE95B1"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46DA0B5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A5072C" w14:paraId="0A510E8D"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0D8AEAB3"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5F3CF913"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6B182F">
        <w:tblPrEx>
          <w:tblW w:w="10125" w:type="dxa"/>
          <w:tblLayout w:type="fixed"/>
          <w:tblLook w:val="0000"/>
        </w:tblPrEx>
        <w:trPr>
          <w:trHeight w:val="571"/>
        </w:trPr>
        <w:tc>
          <w:tcPr>
            <w:tcW w:w="2821" w:type="dxa"/>
            <w:tcBorders>
              <w:left w:val="single" w:sz="8" w:space="0" w:color="auto"/>
            </w:tcBorders>
            <w:vAlign w:val="center"/>
          </w:tcPr>
          <w:p w:rsidR="00E05C84" w:rsidRPr="006B182F" w:rsidP="006B182F" w14:paraId="14D2845E"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399C36DC"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6B182F">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563CF87E"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6B182F">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05C84" w:rsidRPr="006B182F" w:rsidP="00BE3FC9" w14:paraId="5616F4BE" w14:textId="77777777">
            <w:pPr>
              <w:pStyle w:val="ListParagraph"/>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Öğrencilere, nokta, benek ve leke etkisi veren eser örnekleri ile günlük hayatta karşılaşabilecekleri görsel materyaller gösterilerek bu örnekler üzerinden tartışılır.</w:t>
            </w:r>
          </w:p>
          <w:p w:rsidR="00E05C84" w:rsidRPr="006B182F" w:rsidP="00BE3FC9" w14:paraId="6AEB966C" w14:textId="77777777">
            <w:pPr>
              <w:pStyle w:val="ListParagraph"/>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E05C84" w:rsidRPr="006B182F" w:rsidP="00BE3FC9" w14:paraId="219BD00F" w14:textId="77777777">
            <w:pPr>
              <w:pStyle w:val="ListParagraph"/>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Sırasıyla içi boş, dolu,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E05C84" w:rsidRPr="006B182F" w:rsidP="00BE3FC9" w14:paraId="3A47E736" w14:textId="77777777">
            <w:pPr>
              <w:pStyle w:val="ListParagraph"/>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E05C84" w:rsidRPr="006B182F" w:rsidP="006B182F" w14:paraId="5010E842" w14:textId="77777777">
      <w:pPr>
        <w:pStyle w:val="Heading6"/>
        <w:ind w:firstLine="180"/>
        <w:rPr>
          <w:rFonts w:ascii="Tahoma" w:hAnsi="Tahoma" w:cs="Tahoma"/>
          <w:color w:val="000000" w:themeColor="text1"/>
          <w:sz w:val="20"/>
        </w:rPr>
      </w:pPr>
    </w:p>
    <w:p w:rsidR="00E05C84" w:rsidRPr="006B182F" w:rsidP="006B182F" w14:paraId="585EA317"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6B182F">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377DAF13"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A5072C" w14:paraId="19C6546C"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24CF3756"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E05C84" w:rsidRPr="006B182F" w:rsidP="006B182F" w14:paraId="2F6D549C" w14:textId="77777777">
      <w:pPr>
        <w:pStyle w:val="Heading6"/>
        <w:ind w:firstLine="180"/>
        <w:rPr>
          <w:rFonts w:ascii="Tahoma" w:hAnsi="Tahoma" w:cs="Tahoma"/>
          <w:color w:val="000000" w:themeColor="text1"/>
          <w:sz w:val="20"/>
        </w:rPr>
      </w:pPr>
    </w:p>
    <w:p w:rsidR="00E05C84" w:rsidRPr="006B182F" w:rsidP="006B182F" w14:paraId="4161F887"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6B182F">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565FA1D6"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67274114"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6DD3C073" w14:textId="77777777">
            <w:pPr>
              <w:rPr>
                <w:rFonts w:ascii="Tahoma" w:hAnsi="Tahoma" w:cs="Tahoma"/>
                <w:color w:val="000000" w:themeColor="text1"/>
                <w:sz w:val="20"/>
                <w:szCs w:val="20"/>
              </w:rPr>
            </w:pPr>
            <w:r w:rsidRPr="006B182F">
              <w:rPr>
                <w:rFonts w:ascii="Tahoma" w:hAnsi="Tahoma" w:cs="Tahoma"/>
                <w:color w:val="000000" w:themeColor="text1"/>
                <w:sz w:val="20"/>
                <w:szCs w:val="20"/>
              </w:rPr>
              <w:t>Kontur, tek çizgi olarak ele alınmalıdır. Örneğin çevredeki mimari yapılar seçilebilir. Mimari yapının ışık alan ve almayan yüzeylerini basit düzeyde karalayarak gölgelendirmesi sağlanır.</w:t>
            </w:r>
          </w:p>
        </w:tc>
      </w:tr>
    </w:tbl>
    <w:p w:rsidR="00E05C84" w:rsidRPr="006B182F" w:rsidP="006B182F" w14:paraId="2558A496"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6B182F" w14:paraId="3E46CED1" w14:textId="77777777">
      <w:pPr>
        <w:rPr>
          <w:rFonts w:ascii="Tahoma" w:hAnsi="Tahoma" w:cs="Tahoma"/>
          <w:b/>
          <w:color w:val="000000" w:themeColor="text1"/>
          <w:sz w:val="20"/>
          <w:szCs w:val="20"/>
        </w:rPr>
      </w:pPr>
    </w:p>
    <w:p w:rsidR="00E05C84" w:rsidRPr="006B182F" w:rsidP="0092217E" w14:paraId="493FA54B" w14:textId="77777777">
      <w:pPr>
        <w:rPr>
          <w:rFonts w:ascii="Tahoma" w:hAnsi="Tahoma" w:cs="Tahoma"/>
          <w:b/>
          <w:color w:val="000000" w:themeColor="text1"/>
          <w:sz w:val="20"/>
          <w:szCs w:val="20"/>
        </w:rPr>
      </w:pPr>
    </w:p>
    <w:p w:rsidR="00E05C84" w:rsidRPr="006B182F" w:rsidP="0092217E" w14:paraId="6566A845" w14:textId="77777777">
      <w:pPr>
        <w:tabs>
          <w:tab w:val="left" w:pos="3569"/>
        </w:tabs>
        <w:jc w:val="right"/>
        <w:rPr>
          <w:rFonts w:ascii="Tahoma" w:hAnsi="Tahoma" w:cs="Tahoma"/>
          <w:b/>
          <w:color w:val="000000" w:themeColor="text1"/>
          <w:sz w:val="20"/>
          <w:szCs w:val="20"/>
        </w:rPr>
      </w:pPr>
    </w:p>
    <w:p w:rsidR="00E05C84" w:rsidRPr="006B182F" w:rsidP="0092217E" w14:paraId="4065E557" w14:textId="77777777">
      <w:pPr>
        <w:tabs>
          <w:tab w:val="left" w:pos="3569"/>
        </w:tabs>
        <w:jc w:val="right"/>
        <w:rPr>
          <w:rFonts w:ascii="Tahoma" w:hAnsi="Tahoma" w:cs="Tahoma"/>
          <w:b/>
          <w:color w:val="000000" w:themeColor="text1"/>
          <w:sz w:val="20"/>
          <w:szCs w:val="20"/>
        </w:rPr>
      </w:pPr>
    </w:p>
    <w:p w:rsidR="00E05C84" w:rsidRPr="006B182F" w:rsidP="0092217E" w14:paraId="787DC7E0" w14:textId="77777777">
      <w:pPr>
        <w:tabs>
          <w:tab w:val="left" w:pos="3569"/>
        </w:tabs>
        <w:rPr>
          <w:rFonts w:ascii="Tahoma" w:hAnsi="Tahoma" w:cs="Tahoma"/>
          <w:b/>
          <w:color w:val="000000" w:themeColor="text1"/>
          <w:sz w:val="20"/>
          <w:szCs w:val="20"/>
        </w:rPr>
      </w:pPr>
    </w:p>
    <w:p w:rsidR="00E05C84" w:rsidP="0092217E" w14:paraId="1F3C9A1C" w14:textId="77777777">
      <w:pPr>
        <w:tabs>
          <w:tab w:val="left" w:pos="3569"/>
        </w:tabs>
        <w:jc w:val="center"/>
        <w:rPr>
          <w:rFonts w:ascii="Tahoma" w:hAnsi="Tahoma" w:cs="Tahoma"/>
          <w:b/>
          <w:color w:val="000000" w:themeColor="text1"/>
          <w:sz w:val="20"/>
          <w:szCs w:val="20"/>
        </w:rPr>
      </w:pPr>
    </w:p>
    <w:p w:rsidR="00A5072C" w:rsidRPr="006B182F" w:rsidP="0092217E" w14:paraId="0F310F0A" w14:textId="77777777">
      <w:pPr>
        <w:tabs>
          <w:tab w:val="left" w:pos="3569"/>
        </w:tabs>
        <w:jc w:val="center"/>
        <w:rPr>
          <w:rFonts w:ascii="Tahoma" w:hAnsi="Tahoma" w:cs="Tahoma"/>
          <w:b/>
          <w:color w:val="000000" w:themeColor="text1"/>
          <w:sz w:val="20"/>
          <w:szCs w:val="20"/>
        </w:rPr>
      </w:pPr>
    </w:p>
    <w:sectPr w:rsidSect="00386D78">
      <w:pgSz w:w="11906" w:h="16838"/>
      <w:pgMar w:top="851" w:right="1417" w:bottom="567" w:left="1417" w:header="283" w:footer="283"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5"/>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